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6F2" w:rsidRPr="00FB7887" w:rsidRDefault="00E216F2" w:rsidP="00EA654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FB788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بسم </w:t>
      </w:r>
      <w:bookmarkEnd w:id="0"/>
      <w:r w:rsidRPr="00FB7887">
        <w:rPr>
          <w:rFonts w:ascii="IRBadr" w:hAnsi="IRBadr" w:cs="IRBadr"/>
          <w:b/>
          <w:bCs/>
          <w:sz w:val="28"/>
          <w:szCs w:val="28"/>
          <w:rtl/>
          <w:lang w:bidi="fa-IR"/>
        </w:rPr>
        <w:t>الله الرحمن الرحیم</w:t>
      </w:r>
    </w:p>
    <w:p w:rsidR="00EA6546" w:rsidRPr="00FB7887" w:rsidRDefault="00EA6546" w:rsidP="00EA6546">
      <w:pPr>
        <w:bidi/>
        <w:jc w:val="both"/>
        <w:rPr>
          <w:rFonts w:ascii="IRBadr" w:hAnsi="IRBadr" w:cs="IRBadr"/>
          <w:noProof/>
        </w:rPr>
      </w:pPr>
      <w:r w:rsidRPr="00FB7887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FB7887">
        <w:rPr>
          <w:rFonts w:ascii="IRBadr" w:hAnsi="IRBadr" w:cs="IRBadr"/>
          <w:b/>
          <w:bCs/>
          <w:sz w:val="28"/>
          <w:szCs w:val="28"/>
          <w:lang w:bidi="fa-IR"/>
        </w:rPr>
        <w:fldChar w:fldCharType="begin"/>
      </w:r>
      <w:r w:rsidRPr="00FB7887">
        <w:rPr>
          <w:rFonts w:ascii="IRBadr" w:hAnsi="IRBadr" w:cs="IRBadr"/>
          <w:b/>
          <w:bCs/>
          <w:sz w:val="28"/>
          <w:szCs w:val="28"/>
          <w:lang w:bidi="fa-IR"/>
        </w:rPr>
        <w:instrText xml:space="preserve"> TOC \o "1-4" \h \z \u </w:instrText>
      </w:r>
      <w:r w:rsidRPr="00FB7887">
        <w:rPr>
          <w:rFonts w:ascii="IRBadr" w:hAnsi="IRBadr" w:cs="IRBadr"/>
          <w:b/>
          <w:bCs/>
          <w:sz w:val="28"/>
          <w:szCs w:val="28"/>
          <w:lang w:bidi="fa-IR"/>
        </w:rPr>
        <w:fldChar w:fldCharType="separate"/>
      </w:r>
    </w:p>
    <w:p w:rsidR="00EA6546" w:rsidRPr="00FB7887" w:rsidRDefault="00F54557" w:rsidP="00EA654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2594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جایگاه احتیاط در باب حدود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_Toc427882594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2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2595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اشکال به تحریر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_Toc427882595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2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2596" w:history="1">
        <w:r w:rsidR="00FB7887">
          <w:rPr>
            <w:rStyle w:val="Hyperlink"/>
            <w:rFonts w:ascii="IRBadr" w:hAnsi="IRBadr" w:cs="IRBadr"/>
            <w:noProof/>
            <w:rtl/>
          </w:rPr>
          <w:t>جمع‌بندی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_Toc427882596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2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2597" w:history="1">
        <w:r w:rsidR="00FB7887">
          <w:rPr>
            <w:rStyle w:val="Hyperlink"/>
            <w:rFonts w:ascii="IRBadr" w:hAnsi="IRBadr" w:cs="IRBadr"/>
            <w:noProof/>
            <w:rtl/>
          </w:rPr>
          <w:t>شرایط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t xml:space="preserve"> پذیرش اقرار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_Toc427882597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3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2598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اقرار با بیان عذر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_Toc427882598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3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2599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اقرار همراه با انفصال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_Toc427882599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3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2600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اقرارات مطلق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_Toc427882600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3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2601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شرط اطمینان در این صورت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_Toc427882601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4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2602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_Toc427882602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4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2603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اعتماد به بینه در این باب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_Toc427882603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5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2604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مسأله هشتم :اقرار بالبینة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_Toc427882604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5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2605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اصل در بینه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_Toc427882605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6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2606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بینه در مطلق موضوعات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_Toc427882606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6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2607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شهادت زن در این باب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_Toc427882607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6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2608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آراء در این زمینه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_Toc427882608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7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2609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اختلاف شهادات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_Toc427882609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7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2610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حد خمر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_Toc427882610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7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2611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_Toc427882611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8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F54557" w:rsidP="00EA654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882612" w:history="1">
        <w:r w:rsidR="00EA6546" w:rsidRPr="00FB7887">
          <w:rPr>
            <w:rStyle w:val="Hyperlink"/>
            <w:rFonts w:ascii="IRBadr" w:hAnsi="IRBadr" w:cs="IRBadr"/>
            <w:noProof/>
            <w:rtl/>
          </w:rPr>
          <w:t>روایت اول</w:t>
        </w:r>
        <w:r w:rsidR="00EA6546" w:rsidRPr="00FB7887">
          <w:rPr>
            <w:rFonts w:ascii="IRBadr" w:hAnsi="IRBadr" w:cs="IRBadr"/>
            <w:noProof/>
            <w:webHidden/>
          </w:rPr>
          <w:tab/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A6546" w:rsidRPr="00FB7887">
          <w:rPr>
            <w:rFonts w:ascii="IRBadr" w:hAnsi="IRBadr" w:cs="IRBadr"/>
            <w:noProof/>
            <w:webHidden/>
          </w:rPr>
          <w:instrText xml:space="preserve"> PAGEREF _Toc427882612 \h </w:instrText>
        </w:r>
        <w:r w:rsidR="00EA6546" w:rsidRPr="00FB7887">
          <w:rPr>
            <w:rStyle w:val="Hyperlink"/>
            <w:rFonts w:ascii="IRBadr" w:hAnsi="IRBadr" w:cs="IRBadr"/>
            <w:noProof/>
            <w:rtl/>
          </w:rPr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A6546" w:rsidRPr="00FB7887">
          <w:rPr>
            <w:rFonts w:ascii="IRBadr" w:hAnsi="IRBadr" w:cs="IRBadr"/>
            <w:noProof/>
            <w:webHidden/>
          </w:rPr>
          <w:t>8</w:t>
        </w:r>
        <w:r w:rsidR="00EA6546" w:rsidRPr="00FB788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A6546" w:rsidRPr="00FB7887" w:rsidRDefault="00EA6546" w:rsidP="00EA6546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FB7887">
        <w:rPr>
          <w:rFonts w:ascii="IRBadr" w:hAnsi="IRBadr" w:cs="IRBadr"/>
          <w:b/>
          <w:bCs/>
          <w:sz w:val="28"/>
          <w:szCs w:val="28"/>
          <w:lang w:bidi="fa-IR"/>
        </w:rPr>
        <w:fldChar w:fldCharType="end"/>
      </w:r>
    </w:p>
    <w:p w:rsidR="00FB7887" w:rsidRDefault="00FB7887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882594"/>
      <w:r>
        <w:rPr>
          <w:rFonts w:ascii="IRBadr" w:hAnsi="IRBadr" w:cs="IRBadr"/>
          <w:rtl/>
        </w:rPr>
        <w:br w:type="page"/>
      </w:r>
    </w:p>
    <w:p w:rsidR="00ED6B15" w:rsidRPr="00FB7887" w:rsidRDefault="00ED6B15" w:rsidP="00EA6546">
      <w:pPr>
        <w:pStyle w:val="Heading1"/>
        <w:rPr>
          <w:rFonts w:ascii="IRBadr" w:hAnsi="IRBadr" w:cs="IRBadr"/>
          <w:rtl/>
        </w:rPr>
      </w:pPr>
      <w:r w:rsidRPr="00FB7887">
        <w:rPr>
          <w:rFonts w:ascii="IRBadr" w:hAnsi="IRBadr" w:cs="IRBadr"/>
          <w:rtl/>
        </w:rPr>
        <w:lastRenderedPageBreak/>
        <w:t>جایگاه احتیاط در باب حدود</w:t>
      </w:r>
      <w:bookmarkEnd w:id="1"/>
    </w:p>
    <w:p w:rsidR="00ED6B15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در باب حد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اجماع بیاید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ایجاد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و مصداقی برای قاعده تدرع الحدود به وجود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 .</w:t>
      </w:r>
    </w:p>
    <w:p w:rsidR="00ED6B15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اشکالی آقای فاضل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اینجا به متن تحریر 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دارند این است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که در قتل امام فرمودند تعدد تکرار مقتضای احتیاط است. اما در اینجا فتوا می‌دهند که 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>؛</w:t>
      </w:r>
      <w:r w:rsidR="00310635" w:rsidRPr="00FB7887">
        <w:rPr>
          <w:rFonts w:ascii="IRBadr" w:hAnsi="IRBadr" w:cs="IRBadr"/>
          <w:sz w:val="28"/>
          <w:szCs w:val="28"/>
          <w:rtl/>
          <w:lang w:bidi="fa-IR"/>
        </w:rPr>
        <w:t xml:space="preserve">شرب خمر با دو بار اقرار ثابت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10635" w:rsidRPr="00FB788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D6B15" w:rsidRPr="00FB7887" w:rsidRDefault="00ED6B15" w:rsidP="00EA6546">
      <w:pPr>
        <w:pStyle w:val="Heading1"/>
        <w:rPr>
          <w:rFonts w:ascii="IRBadr" w:hAnsi="IRBadr" w:cs="IRBadr"/>
          <w:rtl/>
        </w:rPr>
      </w:pPr>
      <w:bookmarkStart w:id="2" w:name="_Toc427882595"/>
      <w:r w:rsidRPr="00FB7887">
        <w:rPr>
          <w:rFonts w:ascii="IRBadr" w:hAnsi="IRBadr" w:cs="IRBadr"/>
          <w:rtl/>
        </w:rPr>
        <w:t>اشکال به تحریر</w:t>
      </w:r>
      <w:bookmarkEnd w:id="2"/>
    </w:p>
    <w:p w:rsidR="00ED6B15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هر دو جا مثل هم است. دلیل خاص ندارد ولی اجماعی وجود دارد. ایشان سؤال می‌کند که چرا آنجا گفتی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>د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مقتضی الاحتیاط ولی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اینجا فتوایی می‌دهید. این اشکالی است که ایشان به متن وارد می‌کنند،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ملاحظه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 نکردم، ببینم آیا فرقی بوده است؟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چه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در ذهن امام بوده که در قتل فرمودند مقتضی الاحتیاط، ولی اینجا فتوا دادند.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هر دو مثل هم است، یعنی وجهی متمایز و متفاوتی در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نیست. این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است که ایشان مطرح کردند، بد نیست مراجعه کنید، دقتی کنید که چرا آنجا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این‌طوری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گفتند. </w:t>
      </w:r>
    </w:p>
    <w:p w:rsidR="00ED6B15" w:rsidRPr="00FB7887" w:rsidRDefault="00FB7887" w:rsidP="00EA6546">
      <w:pPr>
        <w:pStyle w:val="Heading1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جمع‌بندی</w:t>
      </w:r>
    </w:p>
    <w:p w:rsidR="00ED6B15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پس اگر کسی قاعده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 اجماع را در حدی که ایجاد شبهه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کند، بپذیرد و قاعده تدرع را هم در آن ش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>کلی که ما تصویر کردیم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یا در آن حدی که مرحوم 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>آقای گلپایگانی داشتند، بپذیرد، ط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بعاً اینجا به استناد آن می‌تواند بگوید، با یک بار ثابت نمی‌شود و 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شخصی به شرب خمر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 دو بار اقرار کند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حد بر او جاری می‌شود. با اقرار یک بار دفع می‌شود و ثابت نمی‌شود.</w:t>
      </w:r>
    </w:p>
    <w:p w:rsidR="00ED6B15" w:rsidRPr="00FB7887" w:rsidRDefault="00FB7887" w:rsidP="00EA6546">
      <w:pPr>
        <w:pStyle w:val="Heading2"/>
        <w:rPr>
          <w:rFonts w:ascii="IRBadr" w:hAnsi="IRBadr" w:cs="IRBadr"/>
          <w:rtl/>
        </w:rPr>
      </w:pPr>
      <w:bookmarkStart w:id="3" w:name="_Toc427882597"/>
      <w:r>
        <w:rPr>
          <w:rFonts w:ascii="IRBadr" w:hAnsi="IRBadr" w:cs="IRBadr"/>
          <w:rtl/>
        </w:rPr>
        <w:t>شرایط</w:t>
      </w:r>
      <w:r w:rsidR="00ED6B15" w:rsidRPr="00FB7887">
        <w:rPr>
          <w:rFonts w:ascii="IRBadr" w:hAnsi="IRBadr" w:cs="IRBadr"/>
          <w:rtl/>
        </w:rPr>
        <w:t xml:space="preserve"> پذیرش اقرار</w:t>
      </w:r>
      <w:bookmarkEnd w:id="3"/>
    </w:p>
    <w:p w:rsidR="00ED6B15" w:rsidRPr="00FB7887" w:rsidRDefault="00ED6B15" w:rsidP="00EA6546">
      <w:pPr>
        <w:pStyle w:val="Heading2"/>
        <w:rPr>
          <w:rFonts w:ascii="IRBadr" w:hAnsi="IRBadr" w:cs="IRBadr"/>
          <w:rtl/>
        </w:rPr>
      </w:pPr>
      <w:bookmarkStart w:id="4" w:name="_Toc427882598"/>
      <w:r w:rsidRPr="00FB7887">
        <w:rPr>
          <w:rFonts w:ascii="IRBadr" w:hAnsi="IRBadr" w:cs="IRBadr"/>
          <w:rtl/>
        </w:rPr>
        <w:t>اقرار با بیان عذر</w:t>
      </w:r>
      <w:bookmarkEnd w:id="4"/>
    </w:p>
    <w:p w:rsidR="00ED6B15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پس اقراری معتبر است که همراه با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جمله‌ای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 نباشد که معذوریت او را افاده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کند، والا 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>اگر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اقرار می‌کند، می‌گوید بله شرب خمر کردم، اما دکتر</w:t>
      </w:r>
      <w:r w:rsidR="00ED6B15" w:rsidRPr="00FB7887">
        <w:rPr>
          <w:rFonts w:ascii="IRBadr" w:hAnsi="IRBadr" w:cs="IRBadr"/>
          <w:sz w:val="28"/>
          <w:szCs w:val="28"/>
          <w:rtl/>
          <w:lang w:bidi="fa-IR"/>
        </w:rPr>
        <w:t xml:space="preserve"> گفته بود اگر نخوری چنان می‌شود یا من را مجبور کردند، این اقرار ط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بعاً نمی‌تواند اثبات جرم بکند چون همراه با بیان عذر است. این در صورتی است که اقرار همراه با یک عذر انشاء بشود.</w:t>
      </w:r>
    </w:p>
    <w:p w:rsidR="00E00DC7" w:rsidRPr="00FB7887" w:rsidRDefault="00E00DC7" w:rsidP="00EA6546">
      <w:pPr>
        <w:pStyle w:val="Heading2"/>
        <w:rPr>
          <w:rFonts w:ascii="IRBadr" w:hAnsi="IRBadr" w:cs="IRBadr"/>
          <w:rtl/>
        </w:rPr>
      </w:pPr>
      <w:bookmarkStart w:id="5" w:name="_Toc427882599"/>
      <w:r w:rsidRPr="00FB7887">
        <w:rPr>
          <w:rFonts w:ascii="IRBadr" w:hAnsi="IRBadr" w:cs="IRBadr"/>
          <w:rtl/>
        </w:rPr>
        <w:lastRenderedPageBreak/>
        <w:t>اقرار همراه با انفصال</w:t>
      </w:r>
      <w:bookmarkEnd w:id="5"/>
    </w:p>
    <w:p w:rsidR="00E00DC7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صور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ت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دوم این است که به شرب خمر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 اقرار می‌کند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، با یک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فاصله‌ای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منفصل، بعد می‌گوید، آن اقرار کردن به شرب مسکر به خاطر تدابیر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یا معالجه بود و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یا اکراهی در کار بود.</w:t>
      </w:r>
    </w:p>
    <w:p w:rsidR="00E00DC7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این اقرار هم باز مثبت حد است. برای اینکه با این قرینه منفصله اقرار را محدد  و مقید می‌کند. و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ایجاد شبهه می‌کند و با قاعده تدرع این اقراری که به دنبالش آمده بود که اجبار بود، اکرا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ه بود، من مریض بودم آن را از حیز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انتفاع ساقط می‌کند. بنابراین اقرار به شرب وقتی که همراه با عذری در کلام خودش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بشود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چه متصلاً چه منفصلاً این اقرار را از مثب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ت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یت حد ساقط می‌کند.</w:t>
      </w:r>
    </w:p>
    <w:p w:rsidR="00E00DC7" w:rsidRPr="00FB7887" w:rsidRDefault="00E00DC7" w:rsidP="00EA6546">
      <w:pPr>
        <w:pStyle w:val="Heading2"/>
        <w:rPr>
          <w:rFonts w:ascii="IRBadr" w:hAnsi="IRBadr" w:cs="IRBadr"/>
          <w:rtl/>
        </w:rPr>
      </w:pPr>
      <w:bookmarkStart w:id="6" w:name="_Toc427882600"/>
      <w:r w:rsidRPr="00FB7887">
        <w:rPr>
          <w:rFonts w:ascii="IRBadr" w:hAnsi="IRBadr" w:cs="IRBadr"/>
          <w:rtl/>
        </w:rPr>
        <w:t>اقرارات مطلق</w:t>
      </w:r>
      <w:bookmarkEnd w:id="6"/>
    </w:p>
    <w:p w:rsidR="00E00DC7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صورت سوم در اقرار این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 است که اقرار او مطلق است.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اصل در این نوع اقرارات که قیدی دنبال آن نیست، این است که حالت خاصی ندارد که برای تدابیر باشد،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حمل بر این ظاهر می‌شود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برداشت عقلا این است. الا اینکه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قائل بشود.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موجب اعتماد باشد بر اینکه این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فرد سابقه مریضی دارد و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قرائن و شواهدی وجود دارد که معلوم است شرب او به خاطر معالجه است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00DC7" w:rsidRPr="00FB7887" w:rsidRDefault="00E00DC7" w:rsidP="00EA6546">
      <w:pPr>
        <w:pStyle w:val="Heading2"/>
        <w:rPr>
          <w:rFonts w:ascii="IRBadr" w:hAnsi="IRBadr" w:cs="IRBadr"/>
          <w:rtl/>
        </w:rPr>
      </w:pPr>
      <w:bookmarkStart w:id="7" w:name="_Toc427882601"/>
      <w:r w:rsidRPr="00FB7887">
        <w:rPr>
          <w:rFonts w:ascii="IRBadr" w:hAnsi="IRBadr" w:cs="IRBadr"/>
          <w:rtl/>
        </w:rPr>
        <w:t>شرط اطمینان در این صورت</w:t>
      </w:r>
      <w:bookmarkEnd w:id="7"/>
    </w:p>
    <w:p w:rsidR="00E00DC7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در این فرض سوم آی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ا این قرینه باید اطمینان بیاورد؟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قرینه حالیه نه آن قرائن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لفظیه‌ای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فرض اول و دوم بود. صورت اول قرینه لفظیه متصل بود، صورت دوم قرینه لفظیه منفصل بود، صورت سوم این است که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قرائن حالی باشد، نه قرائن لفظی.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وجود دارد، این است که آیا این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می‌خواهد اقرار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را از حیز انتفاع ساقط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کند، یعنی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می‌گوید این اکراه بوده است، یا برای معالجه بوده است، آیا باید اطمینان بیاورد یا نه؟</w:t>
      </w:r>
    </w:p>
    <w:p w:rsidR="00E00DC7" w:rsidRPr="00FB7887" w:rsidRDefault="00E00DC7" w:rsidP="00EA6546">
      <w:pPr>
        <w:pStyle w:val="Heading2"/>
        <w:rPr>
          <w:rFonts w:ascii="IRBadr" w:hAnsi="IRBadr" w:cs="IRBadr"/>
          <w:rtl/>
        </w:rPr>
      </w:pPr>
      <w:bookmarkStart w:id="8" w:name="_Toc427882602"/>
      <w:r w:rsidRPr="00FB7887">
        <w:rPr>
          <w:rFonts w:ascii="IRBadr" w:hAnsi="IRBadr" w:cs="IRBadr"/>
          <w:rtl/>
        </w:rPr>
        <w:t>اتخاذ مبنا</w:t>
      </w:r>
      <w:bookmarkEnd w:id="8"/>
    </w:p>
    <w:p w:rsidR="00E00DC7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ظاهر عبارت این است که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E00DC7" w:rsidRPr="00FB7887" w:rsidRDefault="00310635" w:rsidP="00EA6546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 يشترط في المقر البلوغ و العقل و الحرية و الاختيار و القصد، و يعتبر في الإقرار أن لا يقرن بشي‌ء يحتمل معه جواز شربه كقوله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: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شربت للتداوي أو مكرها،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 لو أقر بنحو الإطلاق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 قامت قرينة على أنه شربه معذورا لم يثبت الحد،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 لو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أقر بنحو الإطلاق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ثم ادعى عذرا قبل منه، و يدرأ عنه الحد لو احتمل في حقه ذلك، و لا يكفي في ثبوته الرائحة و النكهة مع احتمال العذر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>.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»</w:t>
      </w:r>
      <w:r w:rsidRPr="00FB7887">
        <w:rPr>
          <w:rStyle w:val="FootnoteReference"/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</w:p>
    <w:p w:rsidR="00E00DC7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این قرینه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باید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علم آور و اطمینان آور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باشد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یا اینکه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 لازم نیست؟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ممکن است بگوییم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عبارت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اطلاق دارد، اعم است. به نظر می‌آید همین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درست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است که قرینه گاهی اطمینان می‌آورد، گاهی اطمینان نمی‌آورد، ولی شبهه جدی ایجاد می‌کند. یعنی احتمال قوی را مطرح می‌کند که این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فرد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معذور بوده است. همین هم کافی است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تدرع الحدود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اینجا حد را نفی می‌کند. بنابراین قرینه حالیه لازم نیست قرینه علم آوری یا اطمینان آور باشد. همین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مقدار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ایجاد می‌کند کافی است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00DC7" w:rsidRPr="00FB7887" w:rsidRDefault="00E00DC7" w:rsidP="00EA6546">
      <w:pPr>
        <w:pStyle w:val="Heading2"/>
        <w:rPr>
          <w:rFonts w:ascii="IRBadr" w:hAnsi="IRBadr" w:cs="IRBadr"/>
          <w:rtl/>
        </w:rPr>
      </w:pPr>
      <w:bookmarkStart w:id="9" w:name="_Toc427882603"/>
      <w:r w:rsidRPr="00FB7887">
        <w:rPr>
          <w:rFonts w:ascii="IRBadr" w:hAnsi="IRBadr" w:cs="IRBadr"/>
          <w:rtl/>
        </w:rPr>
        <w:t>اعتماد به بینه در این باب</w:t>
      </w:r>
      <w:bookmarkEnd w:id="9"/>
    </w:p>
    <w:p w:rsidR="00E00DC7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آیا می‌شود در ثبوت شرب مسکر به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قرینه اینکه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دهانش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بو می‌دهد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اکتفا کنیم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>یا نه؟ یعنی اقرار چیزی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و بینه هم یک چیزی است.</w:t>
      </w:r>
    </w:p>
    <w:p w:rsidR="00F63661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نمی‌شود. برای اینکه قرائن و شواهد ممکن است وجهی داشته باشد. اولاً ممکن است که شرب نکرده باشد، قرینه بویی که از دهانش می‌آید، از جای دیگر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پیداشده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00DC7" w:rsidRPr="00FB7887">
        <w:rPr>
          <w:rFonts w:ascii="IRBadr" w:hAnsi="IRBadr" w:cs="IRBadr"/>
          <w:sz w:val="28"/>
          <w:szCs w:val="28"/>
          <w:rtl/>
          <w:lang w:bidi="fa-IR"/>
        </w:rPr>
        <w:t xml:space="preserve">مثلاً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ریخته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دردهان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و بیرون ریخته و نخورده است. مگر اینکه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قاضی علم پیدا کند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و علمش هم معتبر باشد.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البته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تابع این است که علم قاضی را حجت بدهیم یا نه؟ اما اگر عل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م نیاورد ط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بعاً این مثبت نیست و نمی‌شود به آن اعتماد کرد. </w:t>
      </w:r>
    </w:p>
    <w:p w:rsidR="00F63661" w:rsidRPr="00FB7887" w:rsidRDefault="00EA6546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ابوحنیفه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گفته است با ثبوت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رایحه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یا آن بویی که از دهان می‌آید شرب مسکر ثابت می‌شود و حد جاری می‌شود. این هم وجهی است که او گفته و دلیلی هم بر آن نیست. مگر اینکه بگوییم منظورش جایی است که علم ایجاد بشود. والا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هیچ‌وقت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با یک بوی دهان یعنی به این سادگی علم پیدا نمی‌شود که شرب مسکری کرده که موجب حد است.</w:t>
      </w:r>
    </w:p>
    <w:p w:rsidR="00F63661" w:rsidRPr="00FB7887" w:rsidRDefault="00EA6546" w:rsidP="00EA6546">
      <w:pPr>
        <w:pStyle w:val="Heading3"/>
        <w:rPr>
          <w:rFonts w:ascii="IRBadr" w:hAnsi="IRBadr" w:cs="IRBadr"/>
          <w:rtl/>
        </w:rPr>
      </w:pPr>
      <w:bookmarkStart w:id="10" w:name="_Toc427882604"/>
      <w:r w:rsidRPr="00FB7887">
        <w:rPr>
          <w:rFonts w:ascii="IRBadr" w:hAnsi="IRBadr" w:cs="IRBadr"/>
          <w:rtl/>
        </w:rPr>
        <w:t>مسئله</w:t>
      </w:r>
      <w:r w:rsidR="00F63661" w:rsidRPr="00FB7887">
        <w:rPr>
          <w:rFonts w:ascii="IRBadr" w:hAnsi="IRBadr" w:cs="IRBadr"/>
          <w:rtl/>
        </w:rPr>
        <w:t xml:space="preserve"> هشتم :اقرار بالبینة</w:t>
      </w:r>
      <w:bookmarkEnd w:id="10"/>
    </w:p>
    <w:p w:rsidR="00310635" w:rsidRPr="00FB7887" w:rsidRDefault="00F63661" w:rsidP="00EA654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اقرار فرد نیازمند به دلیل نیست چراکه </w:t>
      </w:r>
      <w:r w:rsidR="00310635" w:rsidRPr="00FB7887">
        <w:rPr>
          <w:rFonts w:ascii="IRBadr" w:hAnsi="IRBadr" w:cs="IRBadr"/>
          <w:sz w:val="28"/>
          <w:szCs w:val="28"/>
          <w:rtl/>
          <w:lang w:bidi="fa-IR"/>
        </w:rPr>
        <w:t>طبق قاعده است؛</w:t>
      </w:r>
    </w:p>
    <w:p w:rsidR="00310635" w:rsidRPr="00FB7887" w:rsidRDefault="00E216F2" w:rsidP="00EA654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color w:val="000000"/>
          <w:sz w:val="2"/>
          <w:szCs w:val="2"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</w:p>
    <w:p w:rsidR="00310635" w:rsidRPr="00FB7887" w:rsidRDefault="00310635" w:rsidP="00EA654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</w:pP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 إقرار العقلاء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على أنفسهم جائز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>.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»</w:t>
      </w:r>
      <w:r w:rsidRPr="00FB7887">
        <w:rPr>
          <w:rStyle w:val="FootnoteReference"/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2"/>
      </w:r>
    </w:p>
    <w:p w:rsidR="00310635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مسئله هشتم این است که اقرار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بابینه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ثابت می‌شود. این هم دلیل خاصی نمی‌خواهد. برای اینکه در باب قضا و شهادات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310635" w:rsidRPr="00FB7887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310635" w:rsidRPr="00FB7887" w:rsidRDefault="00310635" w:rsidP="00EA6546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 xml:space="preserve">«عَلِيُّ بْنُ إِبْرَاهِيمَ عَنْ أَبِيهِ عَنِ ابْنِ أَبِي عُمَيْرٍ عَنْ حَمَّادٍ عَنِ الْحَلَبِيِّ عَنْ جَمِيلٍ وَ هِشَامٍ عَنْ أَبِي عَبْدِ اللَّهِ ع قَالَ قَالَ </w:t>
      </w:r>
      <w:r w:rsid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رسول‌الله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الْبَيِّنَةُ عَلَى مَنِ ادَّعَى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وَ الْيَمِينُ عَلَى مَنِ ادُّعِيَ عَلَيْه»</w:t>
      </w:r>
      <w:r w:rsidRPr="00FB7887">
        <w:rPr>
          <w:rStyle w:val="FootnoteReference"/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3"/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</w:p>
    <w:p w:rsidR="00310635" w:rsidRPr="00FB7887" w:rsidRDefault="00310635" w:rsidP="00EA654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color w:val="000000"/>
          <w:sz w:val="2"/>
          <w:szCs w:val="2"/>
          <w:lang w:bidi="fa-IR"/>
        </w:rPr>
      </w:pPr>
    </w:p>
    <w:p w:rsidR="00F63661" w:rsidRPr="00FB7887" w:rsidRDefault="00F63661" w:rsidP="00EA6546">
      <w:pPr>
        <w:pStyle w:val="Heading3"/>
        <w:rPr>
          <w:rFonts w:ascii="IRBadr" w:hAnsi="IRBadr" w:cs="IRBadr"/>
          <w:rtl/>
        </w:rPr>
      </w:pPr>
      <w:bookmarkStart w:id="11" w:name="_Toc427882605"/>
      <w:r w:rsidRPr="00FB7887">
        <w:rPr>
          <w:rFonts w:ascii="IRBadr" w:hAnsi="IRBadr" w:cs="IRBadr"/>
          <w:rtl/>
        </w:rPr>
        <w:t>اصل در بینه</w:t>
      </w:r>
      <w:bookmarkEnd w:id="11"/>
    </w:p>
    <w:p w:rsidR="00F63661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و ادله اعتبار بینه و شاهدین عدلین در جای خودش ذکر شد،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یک قاعده کلی است، مگر جایی که بگوید دو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نفر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کافی نیست، باید چهار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نفر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بشود. همانی که در باب زناست، والا اصل این است که یکی از مثبتات در مقام قضا بینه یعنی شاهدین عادلین است.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پس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قاعده اول و اطلاقات می‌گوید، بینه دلیل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و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مستند قضایی است. </w:t>
      </w:r>
    </w:p>
    <w:p w:rsidR="00F63661" w:rsidRPr="00FB7887" w:rsidRDefault="00F63661" w:rsidP="00EA6546">
      <w:pPr>
        <w:pStyle w:val="Heading3"/>
        <w:rPr>
          <w:rFonts w:ascii="IRBadr" w:hAnsi="IRBadr" w:cs="IRBadr"/>
          <w:rtl/>
        </w:rPr>
      </w:pPr>
      <w:bookmarkStart w:id="12" w:name="_Toc427882606"/>
      <w:r w:rsidRPr="00FB7887">
        <w:rPr>
          <w:rFonts w:ascii="IRBadr" w:hAnsi="IRBadr" w:cs="IRBadr"/>
          <w:rtl/>
        </w:rPr>
        <w:t>بینه در مطلق موضوعات</w:t>
      </w:r>
      <w:bookmarkEnd w:id="12"/>
    </w:p>
    <w:p w:rsidR="00F63661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در مطلق موضوعات بینه لازم است، یا اینکه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اگر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در مقام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 xml:space="preserve"> قضا باشد، باید بینه اقامه بشود؟</w:t>
      </w:r>
    </w:p>
    <w:p w:rsidR="00F63661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در قضا هیچ اختلافی نیست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باید بینه باشد و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با یک نفر چیزی ثابت نمی‌شود. یک نظر این است که در غیر قضا هم در موضوعات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است و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 xml:space="preserve"> باید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بینه باشد، مثل طهارت و نجاست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.یک نظر هم این است که به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قول واحد هم در طهارت و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نجاست می‌شود اعتماد کرد. اختلاف جدی در غیر باب قضا در موضوعات است. اما در روایات و احکام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خبر ثقه حجت است.</w:t>
      </w:r>
    </w:p>
    <w:p w:rsidR="00F63661" w:rsidRPr="00FB7887" w:rsidRDefault="00F63661" w:rsidP="00EA6546">
      <w:pPr>
        <w:pStyle w:val="Heading3"/>
        <w:rPr>
          <w:rFonts w:ascii="IRBadr" w:hAnsi="IRBadr" w:cs="IRBadr"/>
          <w:rtl/>
        </w:rPr>
      </w:pPr>
      <w:bookmarkStart w:id="13" w:name="_Toc427882607"/>
      <w:r w:rsidRPr="00FB7887">
        <w:rPr>
          <w:rFonts w:ascii="IRBadr" w:hAnsi="IRBadr" w:cs="IRBadr"/>
          <w:rtl/>
        </w:rPr>
        <w:t>شهادت زن در این باب</w:t>
      </w:r>
      <w:bookmarkEnd w:id="13"/>
    </w:p>
    <w:p w:rsidR="00192543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فرع بعدی این است که شهادت زن در اینجا مقدور است یا نه؟ و اگر مقدور است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 xml:space="preserve"> کفایت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؟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چون هر دو 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 xml:space="preserve">نفر از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در حکم یکی است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.</w:t>
      </w:r>
      <w:r w:rsidR="00192543"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هیچ دلیل خاصی در باب شرب و مسکر راجع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شهادت زن نداریم.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لذا در اینجا نیز حکم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تابع آن قواعد کلی است که در باب شهادات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F63661" w:rsidRPr="00FB7887">
        <w:rPr>
          <w:rFonts w:ascii="IRBadr" w:hAnsi="IRBadr" w:cs="IRBadr"/>
          <w:sz w:val="28"/>
          <w:szCs w:val="28"/>
          <w:rtl/>
          <w:lang w:bidi="fa-IR"/>
        </w:rPr>
        <w:t>ست.</w:t>
      </w:r>
    </w:p>
    <w:p w:rsidR="00192543" w:rsidRPr="00FB7887" w:rsidRDefault="00192543" w:rsidP="00EA6546">
      <w:pPr>
        <w:pStyle w:val="Heading3"/>
        <w:rPr>
          <w:rFonts w:ascii="IRBadr" w:hAnsi="IRBadr" w:cs="IRBadr"/>
          <w:rtl/>
        </w:rPr>
      </w:pPr>
      <w:bookmarkStart w:id="14" w:name="_Toc427882608"/>
      <w:r w:rsidRPr="00FB7887">
        <w:rPr>
          <w:rFonts w:ascii="IRBadr" w:hAnsi="IRBadr" w:cs="IRBadr"/>
          <w:rtl/>
        </w:rPr>
        <w:t>آراء در این زمینه</w:t>
      </w:r>
      <w:bookmarkEnd w:id="14"/>
    </w:p>
    <w:p w:rsidR="00F63661" w:rsidRPr="00FB7887" w:rsidRDefault="00F63661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نظر امام این بوده که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اصل این است شهادت زن در حدود قبول نیست. نه منفرداً نه منضماً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،در مواردی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قبول است، دلیل خاص می‌خواهد.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مثل‌اینکه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در باب زنا دلیل خاص آمده که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منضم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</w:p>
    <w:p w:rsidR="00192543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یک مبنا این است که شهادت زن در حدود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منضم قبول است، بعضی هم این را </w:t>
      </w:r>
      <w:r w:rsidR="00EA6546" w:rsidRPr="00FB7887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، جناب آقای خویی همین فرمودند. اما اینکه شهادت زن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منفرد قبول است، ظاهراً قائلی وجود ن</w:t>
      </w:r>
      <w:r w:rsidR="00192543" w:rsidRPr="00FB7887">
        <w:rPr>
          <w:rFonts w:ascii="IRBadr" w:hAnsi="IRBadr" w:cs="IRBadr"/>
          <w:sz w:val="28"/>
          <w:szCs w:val="28"/>
          <w:rtl/>
          <w:lang w:bidi="fa-IR"/>
        </w:rPr>
        <w:t>دارد. بنابراین دو قول در اینجا وجود دارد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92543" w:rsidRPr="00FB788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92543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اما اگر دو زن </w:t>
      </w:r>
      <w:r w:rsidR="00C675F2" w:rsidRPr="00FB7887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انضمامی با مرد باشد،</w:t>
      </w:r>
      <w:r w:rsidR="00192543"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675F2" w:rsidRPr="00FB7887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192543" w:rsidRPr="00FB7887">
        <w:rPr>
          <w:rFonts w:ascii="IRBadr" w:hAnsi="IRBadr" w:cs="IRBadr"/>
          <w:sz w:val="28"/>
          <w:szCs w:val="28"/>
          <w:rtl/>
          <w:lang w:bidi="fa-IR"/>
        </w:rPr>
        <w:t xml:space="preserve"> است؟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این هم تابع همان نظر کلی است که ما در باب شهادات آن را می‌پذیریم که من فکر م</w:t>
      </w:r>
      <w:r w:rsidR="00192543" w:rsidRPr="00FB7887">
        <w:rPr>
          <w:rFonts w:ascii="IRBadr" w:hAnsi="IRBadr" w:cs="IRBadr"/>
          <w:sz w:val="28"/>
          <w:szCs w:val="28"/>
          <w:rtl/>
          <w:lang w:bidi="fa-IR"/>
        </w:rPr>
        <w:t>ی‌کنم آنجا منضماً را قبول کردیم.</w:t>
      </w:r>
    </w:p>
    <w:p w:rsidR="00192543" w:rsidRPr="00FB7887" w:rsidRDefault="00192543" w:rsidP="00EA6546">
      <w:pPr>
        <w:pStyle w:val="Heading3"/>
        <w:rPr>
          <w:rFonts w:ascii="IRBadr" w:hAnsi="IRBadr" w:cs="IRBadr"/>
          <w:rtl/>
        </w:rPr>
      </w:pPr>
      <w:bookmarkStart w:id="15" w:name="_Toc427882609"/>
      <w:r w:rsidRPr="00FB7887">
        <w:rPr>
          <w:rFonts w:ascii="IRBadr" w:hAnsi="IRBadr" w:cs="IRBadr"/>
          <w:rtl/>
        </w:rPr>
        <w:t>اختلاف شهادات</w:t>
      </w:r>
      <w:bookmarkEnd w:id="15"/>
    </w:p>
    <w:p w:rsidR="00192543" w:rsidRPr="00FB7887" w:rsidRDefault="00192543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اگر دو نفر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گفتند، آن مسکر آشامیده است،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در خصوصیات اختلاف داشتند، یکی می‌گوید آن شرب مسکر کرد، مثلاً ف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قاع خورد، یکی می‌گوید خمر خورد یا در زمان با یکدیگر اختلاف دارند ،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طبق نظری که سابق </w:t>
      </w:r>
      <w:r w:rsidR="00C675F2" w:rsidRPr="00FB7887">
        <w:rPr>
          <w:rFonts w:ascii="IRBadr" w:hAnsi="IRBadr" w:cs="IRBadr"/>
          <w:sz w:val="28"/>
          <w:szCs w:val="28"/>
          <w:rtl/>
          <w:lang w:bidi="fa-IR"/>
        </w:rPr>
        <w:t>هم‌پایه‌اش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ریخته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شد،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آن دیگر شهادت نمی‌شود </w:t>
      </w:r>
      <w:r w:rsidR="00C675F2" w:rsidRPr="00FB7887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این خصوصیات باید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موافق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باشد. بله اگر یکی مطلق بیاورد، بگوید شرب خمر کرده است بدون اینکه خصوصیات را ذکر کند. اما دیگری بگوید شب شرب خمر کرد یا فقاع خورد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که به نحوی 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>مقید است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می‌تواند به هم منطبق باشد، البته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آن 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اشکالی ندارد. این هم </w:t>
      </w:r>
      <w:r w:rsidR="00C675F2" w:rsidRPr="00FB7887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به بحثی که در شهادات مفصل بحث کردیم. هشت طایفه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روایت داشتیم، بحث </w:t>
      </w:r>
      <w:r w:rsidR="00C675F2" w:rsidRPr="00FB7887">
        <w:rPr>
          <w:rFonts w:ascii="IRBadr" w:hAnsi="IRBadr" w:cs="IRBadr"/>
          <w:sz w:val="28"/>
          <w:szCs w:val="28"/>
          <w:rtl/>
          <w:lang w:bidi="fa-IR"/>
        </w:rPr>
        <w:t>پیچیده‌ای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در جای خودش که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می‌گفتند 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توافق و انطباق شهادت‌ها  شرط است. والا وقتی شهادت‌ها </w:t>
      </w:r>
      <w:r w:rsidR="00C675F2" w:rsidRPr="00FB7887">
        <w:rPr>
          <w:rFonts w:ascii="IRBadr" w:hAnsi="IRBadr" w:cs="IRBadr"/>
          <w:sz w:val="28"/>
          <w:szCs w:val="28"/>
          <w:rtl/>
          <w:lang w:bidi="fa-IR"/>
        </w:rPr>
        <w:t>باهم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مخالف باشد، ساقط می‌شود. </w:t>
      </w:r>
    </w:p>
    <w:p w:rsidR="00192543" w:rsidRPr="00FB7887" w:rsidRDefault="00192543" w:rsidP="00EA6546">
      <w:pPr>
        <w:pStyle w:val="Heading4"/>
        <w:ind w:firstLine="0"/>
        <w:rPr>
          <w:rFonts w:ascii="IRBadr" w:hAnsi="IRBadr" w:cs="IRBadr"/>
          <w:rtl/>
        </w:rPr>
      </w:pPr>
      <w:bookmarkStart w:id="16" w:name="_Toc427882610"/>
      <w:r w:rsidRPr="00FB7887">
        <w:rPr>
          <w:rFonts w:ascii="IRBadr" w:hAnsi="IRBadr" w:cs="IRBadr"/>
          <w:rtl/>
        </w:rPr>
        <w:t>حد خمر</w:t>
      </w:r>
      <w:bookmarkEnd w:id="16"/>
    </w:p>
    <w:p w:rsidR="00192543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مسئله نهم </w:t>
      </w:r>
      <w:r w:rsidR="00192543" w:rsidRPr="00FB7887">
        <w:rPr>
          <w:rFonts w:ascii="IRBadr" w:hAnsi="IRBadr" w:cs="IRBadr"/>
          <w:sz w:val="28"/>
          <w:szCs w:val="28"/>
          <w:rtl/>
          <w:lang w:bidi="fa-IR"/>
        </w:rPr>
        <w:t>این است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192543" w:rsidRPr="00FB7887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310635" w:rsidRPr="00FB7887" w:rsidRDefault="00EE183D" w:rsidP="00EA654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</w:pP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310635"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الحد في الشرب ثمانون</w:t>
      </w:r>
      <w:r w:rsidR="00310635"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310635"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جلدة كان الشارب رجلا أو امر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أة و الكافر إذا تظاهر بشربه يحد»</w:t>
      </w:r>
      <w:r w:rsidR="00310635"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FB7887">
        <w:rPr>
          <w:rStyle w:val="FootnoteReference"/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4"/>
      </w:r>
    </w:p>
    <w:p w:rsidR="00192543" w:rsidRPr="00FB7887" w:rsidRDefault="00192543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چند شلاق حد شرب خمر است؟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ایشان می‌فرمایند حد در شرب خمر هشتاد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ضربه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این امری است که در آن هیچ اختلافی بین فقها نیست و روایاتی که اینجا در این باب </w:t>
      </w:r>
      <w:r w:rsidR="00C675F2" w:rsidRPr="00FB7887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است، در دو باب از این ابواب است.</w:t>
      </w:r>
    </w:p>
    <w:p w:rsidR="00192543" w:rsidRPr="00FB7887" w:rsidRDefault="00192543" w:rsidP="00EA6546">
      <w:pPr>
        <w:pStyle w:val="Heading4"/>
        <w:ind w:firstLine="0"/>
        <w:rPr>
          <w:rFonts w:ascii="IRBadr" w:hAnsi="IRBadr" w:cs="IRBadr"/>
          <w:rtl/>
        </w:rPr>
      </w:pPr>
      <w:bookmarkStart w:id="17" w:name="_Toc427882611"/>
      <w:r w:rsidRPr="00FB7887">
        <w:rPr>
          <w:rFonts w:ascii="IRBadr" w:hAnsi="IRBadr" w:cs="IRBadr"/>
          <w:rtl/>
        </w:rPr>
        <w:t>مستندات بحث</w:t>
      </w:r>
      <w:bookmarkEnd w:id="17"/>
    </w:p>
    <w:p w:rsidR="00192543" w:rsidRPr="00FB7887" w:rsidRDefault="00192543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برخی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در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جلد هیجده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،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ابواب حد مسکر، باب سه، و یکی هم باب شش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است. روایاتی در این باب است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به هشتاد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ضربه دلالت می‌کند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C695D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بعضی روایات را در این زمینه می‌خوانم. </w:t>
      </w:r>
      <w:r w:rsidR="003C695D" w:rsidRPr="00FB7887">
        <w:rPr>
          <w:rFonts w:ascii="IRBadr" w:hAnsi="IRBadr" w:cs="IRBadr"/>
          <w:sz w:val="28"/>
          <w:szCs w:val="28"/>
          <w:rtl/>
          <w:lang w:bidi="fa-IR"/>
        </w:rPr>
        <w:t>مواردی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گفته هشتاد</w:t>
      </w:r>
      <w:r w:rsidR="003C695D" w:rsidRPr="00FB7887">
        <w:rPr>
          <w:rFonts w:ascii="IRBadr" w:hAnsi="IRBadr" w:cs="IRBadr"/>
          <w:sz w:val="28"/>
          <w:szCs w:val="28"/>
          <w:rtl/>
          <w:lang w:bidi="fa-IR"/>
        </w:rPr>
        <w:t xml:space="preserve"> ضربه روایات زیادی است. </w:t>
      </w:r>
    </w:p>
    <w:p w:rsidR="003C695D" w:rsidRPr="00FB7887" w:rsidRDefault="003C695D" w:rsidP="00EA6546">
      <w:pPr>
        <w:pStyle w:val="Heading4"/>
        <w:ind w:firstLine="0"/>
        <w:rPr>
          <w:rFonts w:ascii="IRBadr" w:hAnsi="IRBadr" w:cs="IRBadr"/>
          <w:rtl/>
        </w:rPr>
      </w:pPr>
      <w:bookmarkStart w:id="18" w:name="_Toc427882612"/>
      <w:r w:rsidRPr="00FB7887">
        <w:rPr>
          <w:rFonts w:ascii="IRBadr" w:hAnsi="IRBadr" w:cs="IRBadr"/>
          <w:rtl/>
        </w:rPr>
        <w:lastRenderedPageBreak/>
        <w:t>روایت اول</w:t>
      </w:r>
      <w:bookmarkEnd w:id="18"/>
    </w:p>
    <w:p w:rsidR="003C695D" w:rsidRPr="00FB7887" w:rsidRDefault="003C695D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یک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روایت باب س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ه از ابواب حد مسکر حدیث اول ،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 صفحه چهارصد و </w:t>
      </w:r>
      <w:r w:rsidR="00C675F2" w:rsidRPr="00FB7887">
        <w:rPr>
          <w:rFonts w:ascii="IRBadr" w:hAnsi="IRBadr" w:cs="IRBadr"/>
          <w:sz w:val="28"/>
          <w:szCs w:val="28"/>
          <w:rtl/>
          <w:lang w:bidi="fa-IR"/>
        </w:rPr>
        <w:t>شصت‌وشش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E216F2" w:rsidRPr="00FB7887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EE183D" w:rsidRPr="00FB7887" w:rsidRDefault="00EE183D" w:rsidP="00EA654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</w:pP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«عَلِيُّ بْنُ إِبْرَاهِيمَ عَنْ مُحَمَّدِ بْنِ عِيسَى عَنْ يُونُسَ عَنْ أَبِي بَصِيرٍ عَنْ أَبِي عَبْدِ اللَّهِ ع قَالَ: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قُلْتُ لَهُ كَيْفَ كَانَ يَجْلِدُ </w:t>
      </w:r>
      <w:r w:rsid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رسول‌الله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 قَالَ فَقَالَ كَانَ يَضْرِبُ بِالنِّعَالِ وَ يَزِيدُ كُلَّمَا أُتِيَ بِالشَّارِبِ ثُمَّ لَمْ يَزَلِ النَّاسُ يَزِيدُونَ حَتَّى وَقَفَ عَلَى ثَمَانِينَ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أَشَارَ بِذَلِكَ عَلِيٌّ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 عَلَى عُمَرَ فَرَضِيَ بِهَا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>.</w:t>
      </w:r>
      <w:r w:rsidRPr="00FB788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» </w:t>
      </w:r>
      <w:r w:rsidRPr="00FB7887">
        <w:rPr>
          <w:rStyle w:val="FootnoteReference"/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5"/>
      </w:r>
    </w:p>
    <w:p w:rsidR="00EE183D" w:rsidRPr="00FB7887" w:rsidRDefault="00EE183D" w:rsidP="00EA654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color w:val="000000"/>
          <w:sz w:val="2"/>
          <w:szCs w:val="2"/>
          <w:lang w:bidi="fa-IR"/>
        </w:rPr>
      </w:pPr>
    </w:p>
    <w:p w:rsidR="003C695D" w:rsidRPr="00FB7887" w:rsidRDefault="00E216F2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C695D" w:rsidRPr="00FB788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سند این همان محمد بن عیسی عن یونس است که ما معتبر نمی‌دانیم، به دلیل خاصی که گفتیم. </w:t>
      </w:r>
      <w:r w:rsidR="003C695D" w:rsidRPr="00FB7887">
        <w:rPr>
          <w:rFonts w:ascii="IRBadr" w:hAnsi="IRBadr" w:cs="IRBadr"/>
          <w:sz w:val="28"/>
          <w:szCs w:val="28"/>
          <w:rtl/>
          <w:lang w:bidi="fa-IR"/>
        </w:rPr>
        <w:t xml:space="preserve">راوی سؤال کرد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رسول‌الله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B7887">
        <w:rPr>
          <w:rFonts w:ascii="IRBadr" w:hAnsi="IRBadr" w:cs="IRBadr"/>
          <w:sz w:val="28"/>
          <w:szCs w:val="28"/>
          <w:rtl/>
          <w:lang w:bidi="fa-IR"/>
        </w:rPr>
        <w:t>صلی‌الله</w:t>
      </w:r>
      <w:r w:rsidR="003C695D" w:rsidRPr="00FB7887">
        <w:rPr>
          <w:rFonts w:ascii="IRBadr" w:hAnsi="IRBadr" w:cs="IRBadr"/>
          <w:sz w:val="28"/>
          <w:szCs w:val="28"/>
          <w:rtl/>
          <w:lang w:bidi="fa-IR"/>
        </w:rPr>
        <w:t xml:space="preserve"> علیه و آله و سلم چطور 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>جلد می‌کردند؟ امام صادق فرمودند: با کفش به آن شخص شارب خمر می‌زدند.</w:t>
      </w:r>
    </w:p>
    <w:p w:rsidR="003C695D" w:rsidRPr="00FB7887" w:rsidRDefault="003C695D" w:rsidP="00EA6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B7887">
        <w:rPr>
          <w:rFonts w:ascii="IRBadr" w:hAnsi="IRBadr" w:cs="IRBadr"/>
          <w:sz w:val="28"/>
          <w:szCs w:val="28"/>
          <w:rtl/>
          <w:lang w:bidi="fa-IR"/>
        </w:rPr>
        <w:t>روایت دوم</w:t>
      </w:r>
      <w:r w:rsidR="00EE183D" w:rsidRPr="00FB7887">
        <w:rPr>
          <w:rFonts w:ascii="IRBadr" w:hAnsi="IRBadr" w:cs="IRBadr"/>
          <w:sz w:val="28"/>
          <w:szCs w:val="28"/>
          <w:rtl/>
          <w:lang w:bidi="fa-IR"/>
        </w:rPr>
        <w:t>ی نیز در این زمینه وجود دارد</w:t>
      </w:r>
      <w:r w:rsidRPr="00FB7887">
        <w:rPr>
          <w:rFonts w:ascii="IRBadr" w:hAnsi="IRBadr" w:cs="IRBadr"/>
          <w:sz w:val="28"/>
          <w:szCs w:val="28"/>
          <w:rtl/>
          <w:lang w:bidi="fa-IR"/>
        </w:rPr>
        <w:t xml:space="preserve"> که سند بسیار معتبری دارد</w:t>
      </w:r>
      <w:r w:rsidR="00EE183D" w:rsidRPr="00FB788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FB7887" w:rsidRDefault="00152670" w:rsidP="00EA6546">
      <w:pPr>
        <w:bidi/>
        <w:jc w:val="both"/>
        <w:rPr>
          <w:rFonts w:ascii="IRBadr" w:hAnsi="IRBadr" w:cs="IRBadr"/>
          <w:lang w:bidi="fa-IR"/>
        </w:rPr>
      </w:pPr>
    </w:p>
    <w:sectPr w:rsidR="00152670" w:rsidRPr="00FB7887" w:rsidSect="00D7419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557" w:rsidRDefault="00F54557" w:rsidP="00BC61B1">
      <w:pPr>
        <w:spacing w:after="0" w:line="240" w:lineRule="auto"/>
      </w:pPr>
      <w:r>
        <w:separator/>
      </w:r>
    </w:p>
  </w:endnote>
  <w:endnote w:type="continuationSeparator" w:id="0">
    <w:p w:rsidR="00F54557" w:rsidRDefault="00F54557" w:rsidP="00BC6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0626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546" w:rsidRDefault="00EA65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788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A6546" w:rsidRDefault="00EA65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557" w:rsidRDefault="00F54557" w:rsidP="00EA6546">
      <w:pPr>
        <w:bidi/>
        <w:spacing w:after="0" w:line="240" w:lineRule="auto"/>
      </w:pPr>
      <w:r>
        <w:separator/>
      </w:r>
    </w:p>
  </w:footnote>
  <w:footnote w:type="continuationSeparator" w:id="0">
    <w:p w:rsidR="00F54557" w:rsidRDefault="00F54557" w:rsidP="00BC61B1">
      <w:pPr>
        <w:spacing w:after="0" w:line="240" w:lineRule="auto"/>
      </w:pPr>
      <w:r>
        <w:continuationSeparator/>
      </w:r>
    </w:p>
  </w:footnote>
  <w:footnote w:id="1">
    <w:p w:rsidR="00310635" w:rsidRDefault="0031063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10635">
        <w:rPr>
          <w:rFonts w:ascii="Noor_Titr" w:hAnsi="Noor_Titr" w:cs="B Badr"/>
          <w:color w:val="000000" w:themeColor="text1"/>
          <w:rtl/>
        </w:rPr>
        <w:t>تحرير الوسيلة؛ ج‌2، ص: 479</w:t>
      </w:r>
    </w:p>
  </w:footnote>
  <w:footnote w:id="2">
    <w:p w:rsidR="00310635" w:rsidRDefault="0031063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10635">
        <w:rPr>
          <w:rFonts w:ascii="Noor_Titr" w:hAnsi="Noor_Titr" w:cs="B Badr"/>
          <w:color w:val="000000" w:themeColor="text1"/>
          <w:rtl/>
        </w:rPr>
        <w:t>مسالك الأفهام إلى تنقيح شرائع الإسلام؛ ج‌7، ص: 180</w:t>
      </w:r>
    </w:p>
  </w:footnote>
  <w:footnote w:id="3">
    <w:p w:rsidR="00310635" w:rsidRDefault="0031063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10635">
        <w:rPr>
          <w:rFonts w:ascii="Noor_Titr" w:hAnsi="Noor_Titr" w:cs="B Badr"/>
          <w:color w:val="000000" w:themeColor="text1"/>
          <w:rtl/>
        </w:rPr>
        <w:t>الكافي (ط - الإسلامية)؛ ج‌7، ص: 415</w:t>
      </w:r>
    </w:p>
  </w:footnote>
  <w:footnote w:id="4">
    <w:p w:rsidR="00EE183D" w:rsidRDefault="00EE183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E183D">
        <w:rPr>
          <w:rFonts w:ascii="Noor_Titr" w:hAnsi="Noor_Titr" w:cs="B Badr"/>
          <w:color w:val="000000" w:themeColor="text1"/>
          <w:rtl/>
        </w:rPr>
        <w:t>تحرير الوسيلة؛ ج‌2، ص: 480</w:t>
      </w:r>
    </w:p>
  </w:footnote>
  <w:footnote w:id="5">
    <w:p w:rsidR="00EE183D" w:rsidRDefault="00EE183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E183D">
        <w:rPr>
          <w:rFonts w:ascii="Noor_Titr" w:hAnsi="Noor_Titr" w:cs="B Badr"/>
          <w:color w:val="000000" w:themeColor="text1"/>
          <w:rtl/>
        </w:rPr>
        <w:t>الكافي (ط - الإسلامية)؛ ج‌7، ص: 214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1B1" w:rsidRPr="00BC61B1" w:rsidRDefault="00BC61B1" w:rsidP="00BC61B1">
    <w:pPr>
      <w:tabs>
        <w:tab w:val="left" w:pos="1256"/>
        <w:tab w:val="left" w:pos="5696"/>
        <w:tab w:val="right" w:pos="9071"/>
      </w:tabs>
      <w:bidi/>
      <w:spacing w:line="240" w:lineRule="auto"/>
      <w:rPr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6DF5BD1" wp14:editId="41D2078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8D57822" id="Straight Connector 2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9" w:name="OLE_LINK1"/>
    <w:bookmarkStart w:id="20" w:name="OLE_LINK2"/>
    <w:r>
      <w:rPr>
        <w:noProof/>
        <w:lang w:bidi="fa-IR"/>
      </w:rPr>
      <w:drawing>
        <wp:inline distT="0" distB="0" distL="0" distR="0" wp14:anchorId="31771B56" wp14:editId="4160778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bookmarkEnd w:id="20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F2"/>
    <w:rsid w:val="000324F1"/>
    <w:rsid w:val="00044F13"/>
    <w:rsid w:val="00052BA3"/>
    <w:rsid w:val="0006363E"/>
    <w:rsid w:val="00080DFF"/>
    <w:rsid w:val="00085ED5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543"/>
    <w:rsid w:val="00192A6A"/>
    <w:rsid w:val="00197CDD"/>
    <w:rsid w:val="001C367D"/>
    <w:rsid w:val="001D24F8"/>
    <w:rsid w:val="001E306E"/>
    <w:rsid w:val="001E3FB0"/>
    <w:rsid w:val="001E4FFF"/>
    <w:rsid w:val="001F2E3E"/>
    <w:rsid w:val="0020457C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10635"/>
    <w:rsid w:val="00340BA3"/>
    <w:rsid w:val="00366400"/>
    <w:rsid w:val="00396F28"/>
    <w:rsid w:val="003A1A05"/>
    <w:rsid w:val="003A2654"/>
    <w:rsid w:val="003C695D"/>
    <w:rsid w:val="003C7899"/>
    <w:rsid w:val="003D2F0A"/>
    <w:rsid w:val="003D563F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9696C"/>
    <w:rsid w:val="006A085A"/>
    <w:rsid w:val="006D3A87"/>
    <w:rsid w:val="006F01B4"/>
    <w:rsid w:val="00707798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613AC"/>
    <w:rsid w:val="00980643"/>
    <w:rsid w:val="009925F7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3C02"/>
    <w:rsid w:val="00BB5F7E"/>
    <w:rsid w:val="00BC61B1"/>
    <w:rsid w:val="00BD3122"/>
    <w:rsid w:val="00BD40DA"/>
    <w:rsid w:val="00C160AF"/>
    <w:rsid w:val="00C22299"/>
    <w:rsid w:val="00C25609"/>
    <w:rsid w:val="00C26607"/>
    <w:rsid w:val="00C60D75"/>
    <w:rsid w:val="00C64CEA"/>
    <w:rsid w:val="00C675F2"/>
    <w:rsid w:val="00C73012"/>
    <w:rsid w:val="00C763DD"/>
    <w:rsid w:val="00C84FC0"/>
    <w:rsid w:val="00C9244A"/>
    <w:rsid w:val="00CB5DA3"/>
    <w:rsid w:val="00CD026D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419B"/>
    <w:rsid w:val="00DB28BB"/>
    <w:rsid w:val="00DC603F"/>
    <w:rsid w:val="00DD3C0D"/>
    <w:rsid w:val="00DD4864"/>
    <w:rsid w:val="00DD71A2"/>
    <w:rsid w:val="00E00DC7"/>
    <w:rsid w:val="00E0639C"/>
    <w:rsid w:val="00E067E6"/>
    <w:rsid w:val="00E12531"/>
    <w:rsid w:val="00E143B0"/>
    <w:rsid w:val="00E216F2"/>
    <w:rsid w:val="00E55891"/>
    <w:rsid w:val="00E6283A"/>
    <w:rsid w:val="00E732A3"/>
    <w:rsid w:val="00E83A85"/>
    <w:rsid w:val="00E90FC4"/>
    <w:rsid w:val="00EA01EC"/>
    <w:rsid w:val="00EA15B0"/>
    <w:rsid w:val="00EA5D97"/>
    <w:rsid w:val="00EA6546"/>
    <w:rsid w:val="00EC4393"/>
    <w:rsid w:val="00ED6B15"/>
    <w:rsid w:val="00EE183D"/>
    <w:rsid w:val="00EE1C07"/>
    <w:rsid w:val="00EE2C91"/>
    <w:rsid w:val="00EE3979"/>
    <w:rsid w:val="00EF138C"/>
    <w:rsid w:val="00F034CE"/>
    <w:rsid w:val="00F10A0F"/>
    <w:rsid w:val="00F24DD6"/>
    <w:rsid w:val="00F40284"/>
    <w:rsid w:val="00F54557"/>
    <w:rsid w:val="00F63661"/>
    <w:rsid w:val="00F67976"/>
    <w:rsid w:val="00F70BE1"/>
    <w:rsid w:val="00FB7887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216F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table" w:styleId="TableGrid">
    <w:name w:val="Table Grid"/>
    <w:basedOn w:val="TableNormal"/>
    <w:uiPriority w:val="59"/>
    <w:rsid w:val="00E216F2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6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1B1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C6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1B1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1B1"/>
    <w:rPr>
      <w:rFonts w:ascii="Tahoma" w:eastAsiaTheme="minorHAnsi" w:hAnsi="Tahoma" w:cs="Tahoma"/>
      <w:sz w:val="16"/>
      <w:szCs w:val="16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31063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A65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216F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table" w:styleId="TableGrid">
    <w:name w:val="Table Grid"/>
    <w:basedOn w:val="TableNormal"/>
    <w:uiPriority w:val="59"/>
    <w:rsid w:val="00E216F2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6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1B1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C6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1B1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1B1"/>
    <w:rPr>
      <w:rFonts w:ascii="Tahoma" w:eastAsiaTheme="minorHAnsi" w:hAnsi="Tahoma" w:cs="Tahoma"/>
      <w:sz w:val="16"/>
      <w:szCs w:val="16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31063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A65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43D9-4F0C-42BD-8CB3-14AA66F8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اکبریان</cp:lastModifiedBy>
  <cp:revision>13</cp:revision>
  <dcterms:created xsi:type="dcterms:W3CDTF">2014-11-17T10:20:00Z</dcterms:created>
  <dcterms:modified xsi:type="dcterms:W3CDTF">2015-08-10T10:23:00Z</dcterms:modified>
</cp:coreProperties>
</file>